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661"/>
        <w:gridCol w:w="5239"/>
        <w:gridCol w:w="246"/>
        <w:gridCol w:w="171"/>
        <w:gridCol w:w="413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40FFC97" w:rsidR="00093CA9" w:rsidRDefault="00230EB4"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83ED84B" w:rsidR="00093CA9" w:rsidRDefault="00913A55" w:rsidP="00093CA9">
            <w:r w:rsidRPr="00913A55">
              <w:t>Energy Climate Change Mitigation and Adaptation Plan, from the Ministry of Energy, December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E76CEAF" w14:textId="48B38E7A" w:rsidR="00DD69FA" w:rsidRDefault="00A754D9" w:rsidP="00093CA9">
            <w:hyperlink r:id="rId17" w:history="1">
              <w:r w:rsidRPr="00901081">
                <w:rPr>
                  <w:rStyle w:val="Hipervnculo"/>
                </w:rPr>
                <w:t>https://web.archive.org/web/20250718174242/https://energia.gob.cl/sites/default/files/documentos/20241213_proyecto_definitivo_plan_sectorial_energia_13_dic.pdf</w:t>
              </w:r>
            </w:hyperlink>
            <w:r w:rsidR="00DD69FA">
              <w:t xml:space="preserve"> </w:t>
            </w:r>
          </w:p>
          <w:p w14:paraId="1523C232" w14:textId="526192F2" w:rsidR="00DD69FA" w:rsidRDefault="00DD69FA"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AA8AC15" w:rsidR="00093CA9" w:rsidRDefault="00913A5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DFC7F3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EA56155" w:rsidR="00093CA9" w:rsidRDefault="00DD69FA" w:rsidP="00093CA9">
            <w:r w:rsidRPr="00DD69FA">
              <w:t>The Energy Climate Change Mitigation and Adaptation Plan is a binding sectoral instrument mandated by Chile’s Framework Law on Climate Change (Law No. 21.455). It establishes a set of concrete and pragmatic measures and actions to reduce greenhouse gas emissions, increase climate resilience, and promote a sustainable energy transition towards carbon neutrality before 2050. The Plan is structured around four strategic pillars: productive reconversion, resilient and enabling infrastructure, transitional fuels, and financing for decarbonisation. It includes six mitigation measures (such as decarbonisation of the electricity matrix, promotion of low-emission fuels, green hydrogen, electromobility, energy efficiency, and electrification of final uses) and four adaptation measures (such as increasing resilience in the electricity and fuels subsectors, characterising climate vulnerability, and ensuring energy access for vulnerable groups). The Plan also incorporates integration measures, including carbon pricing instruments and actions for indigenous peoples. It is directly relevant to transition planning as it provides a roadmap for the energy sector to meet sectoral carbon budgets and national climate targets.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DF1E0CF" w:rsidR="00093CA9" w:rsidRDefault="00A754D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3B8A72A"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175DD53" w:rsidR="00093CA9" w:rsidRDefault="00F333CD" w:rsidP="00093CA9">
            <w:r w:rsidRPr="00F333CD">
              <w:t>The Plan was adopted in December 2024 and is scheduled to enter into force in 2025, following the procedures established by the Framework Law on Climate Change.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4B04BF" w:rsidR="00093CA9" w:rsidRPr="00173D7C" w:rsidRDefault="00F333CD"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B112C39" w:rsidR="00093CA9" w:rsidRPr="00173D7C" w:rsidRDefault="00F333CD"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A178856" w:rsidR="00093CA9" w:rsidRPr="00587FAE" w:rsidRDefault="00F333CD" w:rsidP="00093CA9">
            <w:pPr>
              <w:rPr>
                <w:color w:val="000000" w:themeColor="text1"/>
              </w:rPr>
            </w:pPr>
            <w:r w:rsidRPr="00F333CD">
              <w:rPr>
                <w:color w:val="000000" w:themeColor="text1"/>
              </w:rPr>
              <w:t>The Plan covers the period 2025–2030, with implementation of measures and actions scheduled annually and reviewed at least every five years in line with updates to the Nationally Determined Contribution (NDC) and the Long-Term Climate Strategy.</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F3E15AB" w:rsidR="00093CA9" w:rsidRPr="007419BF" w:rsidRDefault="00F333CD" w:rsidP="00093CA9">
            <w:pPr>
              <w:rPr>
                <w:color w:val="000000" w:themeColor="text1"/>
              </w:rPr>
            </w:pPr>
            <w:r w:rsidRPr="00F333CD">
              <w:rPr>
                <w:color w:val="000000" w:themeColor="text1"/>
              </w:rPr>
              <w:t>2030 (with review and potential extension or update thereafter)</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CDAEE84" w:rsidR="00093CA9" w:rsidRDefault="00F333CD" w:rsidP="00093CA9">
            <w:r w:rsidRPr="00F333CD">
              <w:t>Ministry– The Ministry of Energy of Chile is the authoring and issuing authority.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6526042" w:rsidR="00093CA9" w:rsidRPr="006B7B0D" w:rsidRDefault="00F333CD" w:rsidP="00093CA9">
            <w:r w:rsidRPr="00F333CD">
              <w:t>Ministry of Energy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143AED3" w:rsidR="00093CA9" w:rsidRPr="006B7B0D" w:rsidRDefault="00F333C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9444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556"/>
        <w:gridCol w:w="4092"/>
        <w:gridCol w:w="478"/>
        <w:gridCol w:w="1562"/>
        <w:gridCol w:w="1855"/>
        <w:gridCol w:w="1918"/>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23D8B336" w:rsidR="00C4670C" w:rsidRPr="00C37D48" w:rsidRDefault="004F1337"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2A734988" w:rsidR="00C4670C" w:rsidRPr="00C37D48" w:rsidRDefault="004F1337"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4B5F84B7" w:rsidR="00C4670C" w:rsidRPr="00C37D48" w:rsidRDefault="004F1337"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69E8BA1" w:rsidR="00C4670C" w:rsidRPr="00C37D48" w:rsidRDefault="00C4670C" w:rsidP="00C37D48">
            <w:pPr>
              <w:rPr>
                <w:rFonts w:ascii="Calibri" w:hAnsi="Calibri" w:cs="Calibri"/>
              </w:rPr>
            </w:pPr>
          </w:p>
        </w:tc>
        <w:tc>
          <w:tcPr>
            <w:tcW w:w="1614" w:type="dxa"/>
            <w:vAlign w:val="center"/>
          </w:tcPr>
          <w:p w14:paraId="15FFC7AD" w14:textId="5DC0FA76" w:rsidR="00C4670C" w:rsidRPr="00C37D48" w:rsidRDefault="00F333CD"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B6430B6" w:rsidR="004F276F" w:rsidRPr="00C37D48" w:rsidRDefault="00A754D9" w:rsidP="00C37D48">
            <w:pPr>
              <w:rPr>
                <w:rFonts w:ascii="Calibri" w:hAnsi="Calibri" w:cs="Calibri"/>
              </w:rPr>
            </w:pPr>
            <w:r>
              <w:rPr>
                <w:rFonts w:ascii="Calibri" w:hAnsi="Calibri" w:cs="Calibri"/>
              </w:rPr>
              <w:t>X</w:t>
            </w:r>
          </w:p>
        </w:tc>
        <w:tc>
          <w:tcPr>
            <w:tcW w:w="1614" w:type="dxa"/>
            <w:vAlign w:val="center"/>
          </w:tcPr>
          <w:p w14:paraId="6D9B9D6B" w14:textId="2303947C"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2F1B209" w:rsidR="004F276F" w:rsidRPr="00C37D48" w:rsidRDefault="004F276F" w:rsidP="00C37D48">
            <w:pPr>
              <w:rPr>
                <w:rFonts w:ascii="Calibri" w:hAnsi="Calibri" w:cs="Calibri"/>
              </w:rPr>
            </w:pPr>
          </w:p>
        </w:tc>
        <w:tc>
          <w:tcPr>
            <w:tcW w:w="1614" w:type="dxa"/>
            <w:vAlign w:val="center"/>
          </w:tcPr>
          <w:p w14:paraId="06ABB9B5" w14:textId="2D47CFA9"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1821659" w:rsidR="004F276F" w:rsidRPr="00C37D48" w:rsidRDefault="004F1337" w:rsidP="00C37D48">
            <w:pPr>
              <w:rPr>
                <w:rFonts w:ascii="Calibri" w:hAnsi="Calibri" w:cs="Calibri"/>
              </w:rPr>
            </w:pPr>
            <w:r w:rsidRPr="004F1337">
              <w:rPr>
                <w:rFonts w:ascii="Calibri" w:hAnsi="Calibri" w:cs="Calibri"/>
              </w:rPr>
              <w:t>The Plan is sectoral and applies to all actors within the energy sector, including public and private entities, with a focus on electricity generation, transmission, distribution, fuels, and energy use in transport and industry. Duties may vary according to the specific sub-sector and the nature of the action (e.g., decarbonisation, resilience, electrification).</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9444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68DFBAC1" w:rsidR="004F276F" w:rsidRPr="00C37D48" w:rsidRDefault="004F1337" w:rsidP="00C37D48">
            <w:pPr>
              <w:rPr>
                <w:rFonts w:ascii="Calibri" w:hAnsi="Calibri" w:cs="Calibri"/>
              </w:rPr>
            </w:pPr>
            <w:r w:rsidRPr="004F1337">
              <w:rPr>
                <w:rFonts w:ascii="Calibri" w:hAnsi="Calibri" w:cs="Calibri"/>
              </w:rPr>
              <w:t>All entities operating in the energy sector in Chile are subject to the Plan.</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0219F15" w:rsidR="004F276F" w:rsidRPr="00C37D48" w:rsidRDefault="004F1337" w:rsidP="00C37D48">
            <w:pPr>
              <w:rPr>
                <w:rFonts w:ascii="Calibri" w:hAnsi="Calibri" w:cs="Calibri"/>
              </w:rPr>
            </w:pPr>
            <w:r w:rsidRPr="004F1337">
              <w:rPr>
                <w:rFonts w:ascii="Calibri" w:hAnsi="Calibri" w:cs="Calibri"/>
              </w:rPr>
              <w:t>The Plan is binding for the energy sector as a whole, as defined by the Framework Law on Climate Change and sectoral regulations.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D4C4E9B" w:rsidR="004F276F" w:rsidRPr="00C37D48" w:rsidRDefault="004F133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2DADA3E3" w:rsidR="004F276F" w:rsidRPr="00C37D48" w:rsidRDefault="00A754D9"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9751946" w:rsidR="004F276F" w:rsidRPr="00C37D48" w:rsidRDefault="00A754D9"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C577C28"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B5715AB" w:rsidR="00711F61" w:rsidRPr="00C37D48" w:rsidRDefault="004F1337" w:rsidP="00C37D48">
            <w:pPr>
              <w:rPr>
                <w:rFonts w:ascii="Calibri" w:hAnsi="Calibri" w:cs="Calibri"/>
              </w:rPr>
            </w:pPr>
            <w:r w:rsidRPr="004F1337">
              <w:rPr>
                <w:rFonts w:ascii="Calibri" w:hAnsi="Calibri" w:cs="Calibri"/>
              </w:rPr>
              <w:t>The Plan is binding under the Framework Law on Climate Change, which establishes that sectoral authorities are responsible for compliance. However, the specific sanctions for non-compliance are not detailed in the Plan and are likely to be set out in the underlying law or subsequent regulations.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342C965" w:rsidR="001F30DE" w:rsidRPr="00C37D48" w:rsidRDefault="00A754D9"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03F84D7" w14:textId="77777777" w:rsidR="00A754D9" w:rsidRDefault="00A754D9" w:rsidP="00A754D9">
            <w:hyperlink r:id="rId18" w:history="1">
              <w:r w:rsidRPr="00901081">
                <w:rPr>
                  <w:rStyle w:val="Hipervnculo"/>
                </w:rPr>
                <w:t>https://web.archive.org/web/20250718174034/https://energia.gob.cl/cambioclimatico</w:t>
              </w:r>
            </w:hyperlink>
            <w:r>
              <w:t xml:space="preserve"> </w:t>
            </w:r>
          </w:p>
          <w:p w14:paraId="3BA84EFA" w14:textId="3B9D5443" w:rsidR="001F30DE" w:rsidRPr="00A754D9" w:rsidRDefault="00A754D9" w:rsidP="00A754D9">
            <w:hyperlink r:id="rId19" w:history="1">
              <w:r w:rsidRPr="00901081">
                <w:rPr>
                  <w:rStyle w:val="Hipervnculo"/>
                </w:rPr>
                <w:t>https://web.archive.org/web/20250718174127/https://energia.gob.cl/sites/default/files/documentos/20241213_anexo_proyecto_definitivo_plan_energia_numerado.pdf</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50AE9F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36F80CAC" w:rsidR="001F30DE" w:rsidRPr="00C37D48" w:rsidRDefault="00A754D9"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A754D9"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39E8B078" w:rsidR="001F30DE" w:rsidRPr="00A754D9" w:rsidRDefault="00D75916" w:rsidP="00C37D48">
            <w:pPr>
              <w:rPr>
                <w:rFonts w:ascii="Calibri" w:hAnsi="Calibri" w:cs="Calibri"/>
                <w:lang w:val="en-US"/>
              </w:rPr>
            </w:pPr>
            <w:r w:rsidRPr="00D75916">
              <w:rPr>
                <w:rFonts w:ascii="Calibri" w:hAnsi="Calibri" w:cs="Calibri"/>
              </w:rPr>
              <w:t>The plan outlines activities for the regulatory authority that it has started to implement. While not all measures have been put into action yet, several of the proposals have been initiated</w:t>
            </w:r>
            <w:r>
              <w:rPr>
                <w:rFonts w:ascii="Calibri" w:hAnsi="Calibri" w:cs="Calibri"/>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E552B0" w:rsidR="001F30DE" w:rsidRPr="00C37D48" w:rsidRDefault="004F133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4BEDA369" w:rsidR="001F30DE" w:rsidRPr="00C37D48" w:rsidRDefault="004F1337" w:rsidP="00C37D48">
            <w:pPr>
              <w:rPr>
                <w:rFonts w:ascii="Calibri" w:hAnsi="Calibri" w:cs="Calibri"/>
              </w:rPr>
            </w:pPr>
            <w:r w:rsidRPr="004F1337">
              <w:rPr>
                <w:rFonts w:ascii="Calibri" w:hAnsi="Calibri" w:cs="Calibri"/>
              </w:rPr>
              <w:t>There is no known litigation involving this Plan as of the date of this response.</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76A2C929" w:rsidR="004F48E8" w:rsidRPr="00C37D48" w:rsidRDefault="004F1337"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E0C17D0" w:rsidR="000A1365" w:rsidRPr="00C37D48" w:rsidRDefault="004F1337"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FAD500" w:rsidR="00D27551" w:rsidRPr="00C37D48" w:rsidRDefault="004F1337" w:rsidP="00C37D48">
            <w:pPr>
              <w:rPr>
                <w:rFonts w:ascii="Calibri" w:hAnsi="Calibri" w:cs="Calibri"/>
              </w:rPr>
            </w:pPr>
            <w:r w:rsidRPr="004F1337">
              <w:rPr>
                <w:rFonts w:ascii="Calibri" w:hAnsi="Calibri" w:cs="Calibri"/>
              </w:rPr>
              <w:t>No, the same entities as identified in Q2.1 are required to have or develop climate-related targets.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CCA58F5" w:rsidR="00850F36" w:rsidRPr="00C37D48" w:rsidRDefault="004F1337"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6FB323CA" w:rsidR="00850F36" w:rsidRPr="00C37D48" w:rsidRDefault="004F1337"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2EC6D039"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0E64DF7D" w:rsidR="00850F36" w:rsidRPr="00C37D48" w:rsidRDefault="00886E83"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1C2EF260"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36C9513" w:rsidR="00850F36" w:rsidRPr="00C37D48" w:rsidRDefault="004F1337"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100E0AFD" w:rsidR="00850F36" w:rsidRPr="00C37D48" w:rsidRDefault="00850F36" w:rsidP="00C37D48">
            <w:pPr>
              <w:rPr>
                <w:rFonts w:ascii="Calibri" w:hAnsi="Calibri" w:cs="Calibri"/>
              </w:rPr>
            </w:pPr>
          </w:p>
        </w:tc>
        <w:tc>
          <w:tcPr>
            <w:tcW w:w="1334" w:type="dxa"/>
            <w:shd w:val="clear" w:color="auto" w:fill="auto"/>
            <w:vAlign w:val="center"/>
          </w:tcPr>
          <w:p w14:paraId="45E8C815" w14:textId="179FC5A8" w:rsidR="00850F36" w:rsidRPr="00C37D48" w:rsidRDefault="004F1337"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30DED58C" w:rsidR="00850F36" w:rsidRPr="00C37D48" w:rsidRDefault="004F1337"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50151448"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4670E49C" w:rsidR="00850F36" w:rsidRPr="00C37D48" w:rsidRDefault="004F1337"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53B7EBF7"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2B47E831" w:rsidR="00850F36" w:rsidRPr="00C37D48" w:rsidRDefault="004F1337"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0A37573" w:rsidR="00850F36" w:rsidRPr="00C37D48" w:rsidRDefault="004F1337"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0655DB16" w:rsidR="00850F36" w:rsidRPr="00C37D48" w:rsidRDefault="0057308B" w:rsidP="00C37D48">
            <w:pPr>
              <w:rPr>
                <w:rFonts w:ascii="Calibri" w:hAnsi="Calibri" w:cs="Calibri"/>
              </w:rPr>
            </w:pPr>
            <w:r>
              <w:rPr>
                <w:rFonts w:ascii="Calibri" w:hAnsi="Calibri" w:cs="Calibri"/>
              </w:rPr>
              <w:t>X</w:t>
            </w:r>
          </w:p>
        </w:tc>
        <w:tc>
          <w:tcPr>
            <w:tcW w:w="1334" w:type="dxa"/>
            <w:shd w:val="clear" w:color="auto" w:fill="auto"/>
            <w:vAlign w:val="center"/>
          </w:tcPr>
          <w:p w14:paraId="0526DBF3" w14:textId="51E44C74"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5CF1F8C3" w:rsidR="00850F36" w:rsidRPr="00C37D48" w:rsidRDefault="004F1337"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AAAD261" w:rsidR="00850F36" w:rsidRPr="00C37D48" w:rsidRDefault="0057308B" w:rsidP="00C37D48">
            <w:pPr>
              <w:rPr>
                <w:rFonts w:ascii="Calibri" w:hAnsi="Calibri" w:cs="Calibri"/>
              </w:rPr>
            </w:pPr>
            <w:r>
              <w:rPr>
                <w:rFonts w:ascii="Calibri" w:hAnsi="Calibri" w:cs="Calibri"/>
              </w:rPr>
              <w:t>X</w:t>
            </w:r>
          </w:p>
        </w:tc>
        <w:tc>
          <w:tcPr>
            <w:tcW w:w="1334" w:type="dxa"/>
            <w:shd w:val="clear" w:color="auto" w:fill="auto"/>
            <w:vAlign w:val="center"/>
          </w:tcPr>
          <w:p w14:paraId="0C710500" w14:textId="3E55E34B"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3609CBDE" w:rsidR="00D9431B" w:rsidRPr="00C37D48" w:rsidRDefault="004F1337" w:rsidP="00C37D48">
            <w:pPr>
              <w:rPr>
                <w:rFonts w:ascii="Calibri" w:hAnsi="Calibri" w:cs="Calibri"/>
              </w:rPr>
            </w:pPr>
            <w:r w:rsidRPr="004F1337">
              <w:rPr>
                <w:rFonts w:ascii="Calibri" w:hAnsi="Calibri" w:cs="Calibri"/>
              </w:rPr>
              <w:t>The Plan establishes sectoral carbon budgets and specific targets for decarbonisation, renewable energy, energy efficiency, electrification, and adaptation (see</w:t>
            </w:r>
            <w:r>
              <w:rPr>
                <w:rFonts w:ascii="Calibri" w:hAnsi="Calibri" w:cs="Calibri"/>
              </w:rPr>
              <w:t xml:space="preserve"> link 2</w:t>
            </w:r>
            <w:r w:rsidRPr="004F1337">
              <w:rPr>
                <w:rFonts w:ascii="Calibri" w:hAnsi="Calibri" w:cs="Calibri"/>
              </w:rPr>
              <w:t xml:space="preserve"> , sections on mitigation and adaptation measures, e.g., M1–M6 and A1–A4). It also includes targets for just transition and the inclusion of vulnerable groups and indigenous peoples (see integration and implementation sections).</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26C29A9C" w:rsidR="000A1365" w:rsidRPr="00C37D48" w:rsidRDefault="0057308B"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2B20E51" w:rsidR="00C81DE5" w:rsidRPr="00C37D48" w:rsidRDefault="0057308B"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53DC0361" w:rsidR="000A1365" w:rsidRPr="00C37D48" w:rsidRDefault="0057308B"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3A7A84CB" w:rsidR="000A1365" w:rsidRPr="00C37D48" w:rsidRDefault="0057308B"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09453073" w:rsidR="000A1365" w:rsidRPr="00C37D48" w:rsidRDefault="0057308B" w:rsidP="00C37D48">
            <w:pPr>
              <w:rPr>
                <w:rFonts w:ascii="Calibri" w:hAnsi="Calibri" w:cs="Calibri"/>
              </w:rPr>
            </w:pPr>
            <w:r>
              <w:rPr>
                <w:rFonts w:ascii="Calibri" w:hAnsi="Calibri" w:cs="Calibri"/>
              </w:rPr>
              <w:t>X</w:t>
            </w: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05C852CC" w:rsidR="000A1365" w:rsidRPr="00C37D48" w:rsidRDefault="0057308B"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711D0923" w:rsidR="000A1365" w:rsidRPr="00C37D48" w:rsidRDefault="0057308B"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01F48A4A" w:rsidR="000A1365" w:rsidRPr="00C37D48" w:rsidRDefault="0057308B"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1D69F50D" w:rsidR="000A1365" w:rsidRPr="00C37D48" w:rsidRDefault="0057308B"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04EAC819" w:rsidR="000A1365" w:rsidRPr="00C37D48" w:rsidRDefault="0057308B"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3E0B1F6E" w:rsidR="000A1365" w:rsidRPr="00C37D48" w:rsidRDefault="0057308B"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4BC18937" w:rsidR="000A1365" w:rsidRPr="00C37D48" w:rsidRDefault="0057308B" w:rsidP="00C37D48">
            <w:pPr>
              <w:rPr>
                <w:rFonts w:ascii="Calibri" w:hAnsi="Calibri" w:cs="Calibri"/>
              </w:rPr>
            </w:pPr>
            <w:r>
              <w:rPr>
                <w:rFonts w:ascii="Calibri" w:hAnsi="Calibri" w:cs="Calibri"/>
              </w:rPr>
              <w:t>X</w:t>
            </w: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5AB9DD0B" w:rsidR="003A2E5E" w:rsidRPr="00C37D48" w:rsidRDefault="0057308B"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2761D593" w:rsidR="000A1365" w:rsidRPr="00C37D48" w:rsidRDefault="0057308B"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619A9493" w:rsidR="000A1365" w:rsidRPr="00C37D48" w:rsidRDefault="0057308B" w:rsidP="00C37D48">
            <w:pPr>
              <w:rPr>
                <w:rFonts w:ascii="Calibri" w:hAnsi="Calibri" w:cs="Calibri"/>
              </w:rPr>
            </w:pPr>
            <w:r w:rsidRPr="0057308B">
              <w:rPr>
                <w:rFonts w:ascii="Calibri" w:hAnsi="Calibri" w:cs="Calibri"/>
              </w:rPr>
              <w:t>The Plan requires annual and five-year reviews of progress towards sectoral and national targets, with interim milestones established for each measure and action (see Document 2, implementation schedule and monitoring sections).</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0242C205" w:rsidR="000A1365" w:rsidRPr="00C37D48" w:rsidRDefault="0057308B"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5619DB88" w:rsidR="000A1365" w:rsidRPr="00C37D48" w:rsidRDefault="0057308B" w:rsidP="00C37D48">
            <w:pPr>
              <w:rPr>
                <w:rFonts w:ascii="Calibri" w:hAnsi="Calibri" w:cs="Calibri"/>
              </w:rPr>
            </w:pPr>
            <w:r>
              <w:rPr>
                <w:rFonts w:ascii="Calibri" w:hAnsi="Calibri" w:cs="Calibri"/>
              </w:rPr>
              <w:t>X</w:t>
            </w: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907E692" w:rsidR="00D9431B" w:rsidRPr="00C37D48" w:rsidRDefault="0057308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48A3611" w:rsidR="004A4C51" w:rsidRPr="00C37D48" w:rsidRDefault="0057308B" w:rsidP="00C37D48">
            <w:pPr>
              <w:rPr>
                <w:rFonts w:ascii="Calibri" w:hAnsi="Calibri" w:cs="Calibri"/>
              </w:rPr>
            </w:pPr>
            <w:r w:rsidRPr="0057308B">
              <w:rPr>
                <w:rFonts w:ascii="Calibri" w:hAnsi="Calibri" w:cs="Calibri"/>
              </w:rPr>
              <w:t>The Plan encourages the use of international carbon markets (e.g., under Article 6 of the Paris Agreement) to accelerate the adoption of low-emission fuels and technologies, provided that this results in effective emission reductions in Chile (see Document 2, M2 – Use of Low-Emission Fuels).</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25490ECE" w:rsidR="00890032" w:rsidRPr="00C37D48" w:rsidRDefault="0057308B"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CB77A4A" w:rsidR="00474855" w:rsidRPr="00C37D48" w:rsidRDefault="0057308B" w:rsidP="00C37D48">
            <w:pPr>
              <w:rPr>
                <w:rFonts w:ascii="Calibri" w:hAnsi="Calibri" w:cs="Calibri"/>
              </w:rPr>
            </w:pPr>
            <w:r w:rsidRPr="0057308B">
              <w:rPr>
                <w:rFonts w:ascii="Calibri" w:hAnsi="Calibri" w:cs="Calibri"/>
              </w:rPr>
              <w:t>No, the same entities as identified in Q2.1 are required to have or develop a transition plan.</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602C070E" w:rsidR="003618D4" w:rsidRPr="00C37D48" w:rsidRDefault="0057308B" w:rsidP="00C37D48">
            <w:pPr>
              <w:rPr>
                <w:rFonts w:ascii="Calibri" w:hAnsi="Calibri" w:cs="Calibri"/>
              </w:rPr>
            </w:pPr>
            <w:r>
              <w:rPr>
                <w:rFonts w:ascii="Calibri" w:hAnsi="Calibri" w:cs="Calibri"/>
              </w:rPr>
              <w:t>X</w:t>
            </w:r>
          </w:p>
        </w:tc>
        <w:tc>
          <w:tcPr>
            <w:tcW w:w="2363" w:type="dxa"/>
            <w:vAlign w:val="center"/>
          </w:tcPr>
          <w:p w14:paraId="67B80ECC" w14:textId="0C6D824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14178A71" w:rsidR="003618D4" w:rsidRPr="00C37D48" w:rsidRDefault="0057308B" w:rsidP="00C37D48">
            <w:pPr>
              <w:rPr>
                <w:rFonts w:ascii="Calibri" w:hAnsi="Calibri" w:cs="Calibri"/>
              </w:rPr>
            </w:pPr>
            <w:r>
              <w:rPr>
                <w:rFonts w:ascii="Calibri" w:hAnsi="Calibri" w:cs="Calibri"/>
              </w:rPr>
              <w:t>X</w:t>
            </w:r>
          </w:p>
        </w:tc>
        <w:tc>
          <w:tcPr>
            <w:tcW w:w="2363" w:type="dxa"/>
            <w:vAlign w:val="center"/>
          </w:tcPr>
          <w:p w14:paraId="1CA6BDE4" w14:textId="22232B18"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D8B2EEA" w:rsidR="003618D4" w:rsidRPr="00C37D48" w:rsidRDefault="003618D4" w:rsidP="00C37D48">
            <w:pPr>
              <w:rPr>
                <w:rFonts w:ascii="Calibri" w:hAnsi="Calibri" w:cs="Calibri"/>
              </w:rPr>
            </w:pPr>
          </w:p>
        </w:tc>
        <w:tc>
          <w:tcPr>
            <w:tcW w:w="1731" w:type="dxa"/>
            <w:vAlign w:val="center"/>
          </w:tcPr>
          <w:p w14:paraId="5EC08EF7" w14:textId="1F9397B5" w:rsidR="003618D4" w:rsidRPr="00C37D48" w:rsidRDefault="0057308B" w:rsidP="00C37D48">
            <w:pPr>
              <w:rPr>
                <w:rFonts w:ascii="Calibri" w:hAnsi="Calibri" w:cs="Calibri"/>
              </w:rPr>
            </w:pPr>
            <w:r>
              <w:rPr>
                <w:rFonts w:ascii="Calibri" w:hAnsi="Calibri" w:cs="Calibri"/>
              </w:rPr>
              <w:t>X</w:t>
            </w:r>
          </w:p>
        </w:tc>
        <w:tc>
          <w:tcPr>
            <w:tcW w:w="2363" w:type="dxa"/>
            <w:vAlign w:val="center"/>
          </w:tcPr>
          <w:p w14:paraId="02E8ED17" w14:textId="4EF01F18"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C2FC647" w:rsidR="003618D4" w:rsidRPr="00C37D48" w:rsidRDefault="0057308B" w:rsidP="00C37D48">
            <w:pPr>
              <w:rPr>
                <w:rFonts w:ascii="Calibri" w:hAnsi="Calibri" w:cs="Calibri"/>
              </w:rPr>
            </w:pPr>
            <w:r>
              <w:rPr>
                <w:rFonts w:ascii="Calibri" w:hAnsi="Calibri" w:cs="Calibri"/>
              </w:rPr>
              <w:t>X</w:t>
            </w:r>
          </w:p>
        </w:tc>
        <w:tc>
          <w:tcPr>
            <w:tcW w:w="2363" w:type="dxa"/>
            <w:vAlign w:val="center"/>
          </w:tcPr>
          <w:p w14:paraId="39ACE2E7" w14:textId="4FD69597"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6626C92C" w:rsidR="003618D4" w:rsidRPr="00C37D48" w:rsidRDefault="0057308B" w:rsidP="00C37D48">
            <w:pPr>
              <w:rPr>
                <w:rFonts w:ascii="Calibri" w:hAnsi="Calibri" w:cs="Calibri"/>
              </w:rPr>
            </w:pPr>
            <w:r>
              <w:rPr>
                <w:rFonts w:ascii="Calibri" w:hAnsi="Calibri" w:cs="Calibri"/>
              </w:rPr>
              <w:t>X</w:t>
            </w:r>
          </w:p>
        </w:tc>
        <w:tc>
          <w:tcPr>
            <w:tcW w:w="2363" w:type="dxa"/>
            <w:vAlign w:val="center"/>
          </w:tcPr>
          <w:p w14:paraId="692D19F2" w14:textId="790078B2"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36641AA9" w:rsidR="003618D4" w:rsidRPr="00C37D48" w:rsidRDefault="0057308B" w:rsidP="00C37D48">
            <w:pPr>
              <w:rPr>
                <w:rFonts w:ascii="Calibri" w:hAnsi="Calibri" w:cs="Calibri"/>
              </w:rPr>
            </w:pPr>
            <w:r>
              <w:rPr>
                <w:rFonts w:ascii="Calibri" w:hAnsi="Calibri" w:cs="Calibri"/>
              </w:rPr>
              <w:t>X</w:t>
            </w:r>
          </w:p>
        </w:tc>
        <w:tc>
          <w:tcPr>
            <w:tcW w:w="2363" w:type="dxa"/>
            <w:vAlign w:val="center"/>
          </w:tcPr>
          <w:p w14:paraId="6D743F6E" w14:textId="3A38F6E2"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482BAF47" w:rsidR="005733AF" w:rsidRPr="00C37D48" w:rsidRDefault="0057308B" w:rsidP="00C37D48">
            <w:pPr>
              <w:rPr>
                <w:rFonts w:ascii="Calibri" w:hAnsi="Calibri" w:cs="Calibri"/>
              </w:rPr>
            </w:pPr>
            <w:r w:rsidRPr="0057308B">
              <w:rPr>
                <w:rFonts w:ascii="Calibri" w:hAnsi="Calibri" w:cs="Calibri"/>
              </w:rPr>
              <w:t xml:space="preserve">The Plan requires the development and periodic update of transition plans, including clear timeframes, KPIs, and scenario analysis methodologies. It also mandates the integration of climate considerations into investment and expenditure planning, and requires third-party verification for certain actions (see </w:t>
            </w:r>
            <w:r>
              <w:rPr>
                <w:rFonts w:ascii="Calibri" w:hAnsi="Calibri" w:cs="Calibri"/>
              </w:rPr>
              <w:t>link</w:t>
            </w:r>
            <w:r w:rsidRPr="0057308B">
              <w:rPr>
                <w:rFonts w:ascii="Calibri" w:hAnsi="Calibri" w:cs="Calibri"/>
              </w:rPr>
              <w:t xml:space="preserve"> 2, monitoring, reporting, and verification sections).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635AF2C" w:rsidR="00E7486E" w:rsidRPr="00C37D48" w:rsidRDefault="0057308B"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61418401" w:rsidR="00E7486E" w:rsidRPr="00C37D48" w:rsidRDefault="0057308B" w:rsidP="00C37D48">
            <w:pPr>
              <w:rPr>
                <w:rFonts w:ascii="Calibri" w:hAnsi="Calibri" w:cs="Calibri"/>
              </w:rPr>
            </w:pPr>
            <w:r w:rsidRPr="0057308B">
              <w:rPr>
                <w:rFonts w:ascii="Calibri" w:hAnsi="Calibri" w:cs="Calibri"/>
              </w:rPr>
              <w:t xml:space="preserve">The Plan establishes an annual monitoring and reporting system, with progress tracked against defined indicators for each measure and action. Results are compiled in an annual follow-up report, as detailed in the monitoring and verification section (see </w:t>
            </w:r>
            <w:r>
              <w:rPr>
                <w:rFonts w:ascii="Calibri" w:hAnsi="Calibri" w:cs="Calibri"/>
              </w:rPr>
              <w:t>link</w:t>
            </w:r>
            <w:r w:rsidRPr="0057308B">
              <w:rPr>
                <w:rFonts w:ascii="Calibri" w:hAnsi="Calibri" w:cs="Calibri"/>
              </w:rPr>
              <w:t xml:space="preserve"> 2 and </w:t>
            </w:r>
            <w:r>
              <w:rPr>
                <w:rFonts w:ascii="Calibri" w:hAnsi="Calibri" w:cs="Calibri"/>
              </w:rPr>
              <w:t>link</w:t>
            </w:r>
            <w:r w:rsidRPr="0057308B">
              <w:rPr>
                <w:rFonts w:ascii="Calibri" w:hAnsi="Calibri" w:cs="Calibri"/>
              </w:rPr>
              <w:t xml:space="preserve"> 3, monitoring protocols).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297205E3" w:rsidR="00671EA4" w:rsidRPr="00C37D48" w:rsidRDefault="0057308B"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1658A20B" w:rsidR="00773639" w:rsidRPr="00C37D48" w:rsidRDefault="0057308B" w:rsidP="00C37D48">
            <w:pPr>
              <w:rPr>
                <w:rFonts w:ascii="Calibri" w:hAnsi="Calibri" w:cs="Calibri"/>
              </w:rPr>
            </w:pPr>
            <w:r>
              <w:rPr>
                <w:rFonts w:ascii="Calibri" w:hAnsi="Calibri" w:cs="Calibri"/>
              </w:rPr>
              <w:t>X</w:t>
            </w: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614D4BE6" w:rsidR="00773639" w:rsidRPr="00C37D48" w:rsidRDefault="0057308B" w:rsidP="00C37D48">
            <w:pPr>
              <w:rPr>
                <w:rFonts w:ascii="Calibri" w:hAnsi="Calibri" w:cs="Calibri"/>
              </w:rPr>
            </w:pPr>
            <w:r>
              <w:rPr>
                <w:rFonts w:ascii="Calibri" w:hAnsi="Calibri" w:cs="Calibri"/>
              </w:rPr>
              <w:t>X</w:t>
            </w: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6D659077" w:rsidR="00773639" w:rsidRPr="00C37D48" w:rsidRDefault="0057308B" w:rsidP="00C37D48">
            <w:pPr>
              <w:rPr>
                <w:rFonts w:ascii="Calibri" w:hAnsi="Calibri" w:cs="Calibri"/>
              </w:rPr>
            </w:pPr>
            <w:r>
              <w:rPr>
                <w:rFonts w:ascii="Calibri" w:hAnsi="Calibri" w:cs="Calibri"/>
              </w:rPr>
              <w:t>X</w:t>
            </w: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6C64243B" w:rsidR="00773639" w:rsidRPr="00C37D48" w:rsidRDefault="0057308B" w:rsidP="00C37D48">
            <w:pPr>
              <w:rPr>
                <w:rFonts w:ascii="Calibri" w:hAnsi="Calibri" w:cs="Calibri"/>
              </w:rPr>
            </w:pPr>
            <w:r>
              <w:rPr>
                <w:rFonts w:ascii="Calibri" w:hAnsi="Calibri" w:cs="Calibri"/>
              </w:rPr>
              <w:t>X</w:t>
            </w: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58CEE724" w:rsidR="00773639" w:rsidRPr="00C37D48" w:rsidRDefault="0057308B" w:rsidP="00C37D48">
            <w:pPr>
              <w:rPr>
                <w:rFonts w:ascii="Calibri" w:hAnsi="Calibri" w:cs="Calibri"/>
              </w:rPr>
            </w:pPr>
            <w:r>
              <w:rPr>
                <w:rFonts w:ascii="Calibri" w:hAnsi="Calibri" w:cs="Calibri"/>
              </w:rP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148625B9" w:rsidR="00773639" w:rsidRPr="00C37D48" w:rsidRDefault="0057308B" w:rsidP="00C37D48">
            <w:pPr>
              <w:rPr>
                <w:rFonts w:ascii="Calibri" w:hAnsi="Calibri" w:cs="Calibri"/>
              </w:rPr>
            </w:pPr>
            <w:r>
              <w:rPr>
                <w:rFonts w:ascii="Calibri" w:hAnsi="Calibri" w:cs="Calibri"/>
              </w:rPr>
              <w:t>X</w:t>
            </w: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4335E" w:rsidR="00813A3A" w:rsidRPr="00C37D48" w:rsidRDefault="0057308B" w:rsidP="00C37D48">
            <w:pPr>
              <w:rPr>
                <w:rFonts w:ascii="Calibri" w:hAnsi="Calibri" w:cs="Calibri"/>
              </w:rPr>
            </w:pPr>
            <w:r w:rsidRPr="0057308B">
              <w:rPr>
                <w:rFonts w:ascii="Calibri" w:hAnsi="Calibri" w:cs="Calibri"/>
              </w:rPr>
              <w:t xml:space="preserve">The Plan includes measures to ensure that transition planning is integrated into corporate governance, stakeholder engagement, and policy advocacy, with a focus on just transition, gender, and inclusion of vulnerable groups (see </w:t>
            </w:r>
            <w:r>
              <w:rPr>
                <w:rFonts w:ascii="Calibri" w:hAnsi="Calibri" w:cs="Calibri"/>
              </w:rPr>
              <w:t>link 2</w:t>
            </w:r>
            <w:r w:rsidRPr="0057308B">
              <w:rPr>
                <w:rFonts w:ascii="Calibri" w:hAnsi="Calibri" w:cs="Calibri"/>
              </w:rPr>
              <w:t>, integration and implementation sections).</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FE39FE6" w:rsidR="00B610C2" w:rsidRPr="00610F28" w:rsidRDefault="0057308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A7A130C" w:rsidR="00B610C2" w:rsidRPr="00610F28" w:rsidRDefault="0057308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8397AB1" w:rsidR="00B610C2" w:rsidRPr="00610F28" w:rsidRDefault="0057308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F549354" w:rsidR="00B610C2" w:rsidRPr="00610F28" w:rsidRDefault="0057308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024AF25" w:rsidR="00B610C2" w:rsidRPr="00610F28" w:rsidRDefault="0057308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AA4DC26" w:rsidR="00B610C2" w:rsidRPr="00610F28" w:rsidRDefault="0057308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A5FE5ED" w:rsidR="00B610C2" w:rsidRPr="00610F28" w:rsidRDefault="0057308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19E8774" w:rsidR="00B610C2" w:rsidRPr="00610F28" w:rsidRDefault="0057308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9BF4B54" w:rsidR="00B610C2" w:rsidRPr="00610F28" w:rsidRDefault="0057308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AB9955B" w:rsidR="00B610C2" w:rsidRPr="00610F28" w:rsidRDefault="0057308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5CB186CB" w:rsidR="00B610C2" w:rsidRPr="00610F28" w:rsidRDefault="00886E83"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2726414" w:rsidR="00B610C2" w:rsidRPr="00610F28" w:rsidRDefault="00886E83" w:rsidP="00610F28">
            <w:pPr>
              <w:rPr>
                <w:rFonts w:ascii="Calibri" w:hAnsi="Calibri" w:cs="Calibri"/>
              </w:rPr>
            </w:pPr>
            <w:r w:rsidRPr="00886E83">
              <w:rPr>
                <w:rFonts w:ascii="Calibri" w:hAnsi="Calibri" w:cs="Calibri"/>
              </w:rPr>
              <w:t>The Plan refers to national methodologies for GHG accounting, the Framework Law on Climate Change, and sectoral regulations. International best practices are also considered for scenario analysis and reporting.</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CB8F390" w:rsidR="00250F54" w:rsidRPr="00610F28" w:rsidRDefault="00886E83" w:rsidP="00610F28">
            <w:pPr>
              <w:rPr>
                <w:rFonts w:ascii="Calibri" w:hAnsi="Calibri" w:cs="Calibri"/>
              </w:rPr>
            </w:pPr>
            <w:r w:rsidRPr="00886E83">
              <w:rPr>
                <w:rFonts w:ascii="Calibri" w:hAnsi="Calibri" w:cs="Calibri"/>
              </w:rPr>
              <w:t>The Plan is a central instrument for aligning the Chilean energy sector with the national net zero target by 2050, providing a comprehensive and binding roadmap for decarbonisation, resilience, and just transition, with robust monitoring and stakeholder engagement mechanisms.</w:t>
            </w: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9444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9444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9444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9444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7DD0C8" w14:textId="77777777" w:rsidR="00FC484A" w:rsidRDefault="00FC484A" w:rsidP="00874E39">
      <w:r>
        <w:separator/>
      </w:r>
    </w:p>
  </w:endnote>
  <w:endnote w:type="continuationSeparator" w:id="0">
    <w:p w14:paraId="0B8906F4" w14:textId="77777777" w:rsidR="00FC484A" w:rsidRDefault="00FC484A" w:rsidP="00874E39">
      <w:r>
        <w:continuationSeparator/>
      </w:r>
    </w:p>
  </w:endnote>
  <w:endnote w:type="continuationNotice" w:id="1">
    <w:p w14:paraId="7D6C0211" w14:textId="77777777" w:rsidR="00FC484A" w:rsidRDefault="00FC48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8D0C77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80B897" w14:textId="77777777" w:rsidR="00FC484A" w:rsidRDefault="00FC484A" w:rsidP="00874E39">
      <w:r>
        <w:separator/>
      </w:r>
    </w:p>
  </w:footnote>
  <w:footnote w:type="continuationSeparator" w:id="0">
    <w:p w14:paraId="226BC6BB" w14:textId="77777777" w:rsidR="00FC484A" w:rsidRDefault="00FC484A" w:rsidP="00874E39">
      <w:r>
        <w:continuationSeparator/>
      </w:r>
    </w:p>
  </w:footnote>
  <w:footnote w:type="continuationNotice" w:id="1">
    <w:p w14:paraId="5780496D" w14:textId="77777777" w:rsidR="00FC484A" w:rsidRDefault="00FC484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010"/>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EB4"/>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E37"/>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1337"/>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08B"/>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8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E83"/>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A55"/>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27"/>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666"/>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54D9"/>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449"/>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544"/>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916"/>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69FA"/>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4D9"/>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3CD"/>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4D0"/>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84A"/>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8174034/https://energia.gob.cl/cambioclimatico"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8174242/https://energia.gob.cl/sites/default/files/documentos/20241213_proyecto_definitivo_plan_sectorial_energia_13_dic.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8174127/https://energia.gob.cl/sites/default/files/documentos/20241213_anexo_proyecto_definitivo_plan_energia_numerado.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10BE4F9-7937-4F0A-ACB3-971C81824A92}"/>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infopath/2007/PartnerControls"/>
    <ds:schemaRef ds:uri="28f275ee-faf3-4af3-853c-22809942d3ff"/>
    <ds:schemaRef ds:uri="http://www.w3.org/XML/1998/namespace"/>
    <ds:schemaRef ds:uri="http://purl.org/dc/dcmitype/"/>
    <ds:schemaRef ds:uri="http://schemas.microsoft.com/office/2006/documentManagement/types"/>
    <ds:schemaRef ds:uri="http://schemas.microsoft.com/office/2006/metadata/properties"/>
    <ds:schemaRef ds:uri="http://purl.org/dc/terms/"/>
    <ds:schemaRef ds:uri="http://purl.org/dc/elements/1.1/"/>
    <ds:schemaRef ds:uri="http://schemas.openxmlformats.org/package/2006/metadata/core-properties"/>
    <ds:schemaRef ds:uri="d243ba2a-5fd1-47b2-be6e-b87066923a31"/>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23395</Words>
  <Characters>128674</Characters>
  <Application>Microsoft Office Word</Application>
  <DocSecurity>0</DocSecurity>
  <Lines>1072</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2</cp:revision>
  <cp:lastPrinted>2025-03-21T00:14:00Z</cp:lastPrinted>
  <dcterms:created xsi:type="dcterms:W3CDTF">2025-07-22T18:43:00Z</dcterms:created>
  <dcterms:modified xsi:type="dcterms:W3CDTF">2025-07-22T18:43:00Z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